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附件：</w:t>
      </w:r>
    </w:p>
    <w:p>
      <w:pPr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《北京市药品推销员培训证书》初学培训班</w:t>
      </w:r>
    </w:p>
    <w:p>
      <w:pPr>
        <w:jc w:val="center"/>
        <w:rPr>
          <w:szCs w:val="32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在线学习操作手册</w:t>
      </w:r>
    </w:p>
    <w:p/>
    <w:p>
      <w:pPr>
        <w:wordWrap w:val="0"/>
        <w:jc w:val="righ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技术咨询：陈祥坤 </w:t>
      </w:r>
      <w:r>
        <w:rPr>
          <w:rFonts w:ascii="黑体" w:hAnsi="黑体" w:eastAsia="黑体"/>
        </w:rPr>
        <w:t>13552229054</w:t>
      </w:r>
    </w:p>
    <w:p>
      <w:pPr>
        <w:jc w:val="righ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学会：于利 </w:t>
      </w: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/>
        </w:rPr>
        <w:t>6</w:t>
      </w:r>
      <w:r>
        <w:rPr>
          <w:rFonts w:ascii="黑体" w:hAnsi="黑体" w:eastAsia="黑体"/>
        </w:rPr>
        <w:t>4178704</w:t>
      </w:r>
      <w:r>
        <w:rPr>
          <w:rFonts w:hint="eastAsia" w:ascii="黑体" w:hAnsi="黑体" w:eastAsia="黑体"/>
        </w:rPr>
        <w:t>-</w:t>
      </w:r>
      <w:r>
        <w:rPr>
          <w:rFonts w:ascii="黑体" w:hAnsi="黑体" w:eastAsia="黑体"/>
        </w:rPr>
        <w:t>208</w:t>
      </w:r>
    </w:p>
    <w:p/>
    <w:p>
      <w:pPr>
        <w:pStyle w:val="3"/>
        <w:numPr>
          <w:ilvl w:val="0"/>
          <w:numId w:val="1"/>
        </w:numPr>
        <w:jc w:val="center"/>
      </w:pPr>
      <w:bookmarkStart w:id="0" w:name="_Toc55211379"/>
      <w:r>
        <w:rPr>
          <w:rFonts w:hint="eastAsia"/>
        </w:rPr>
        <w:t>电脑端学习</w:t>
      </w:r>
      <w:bookmarkEnd w:id="0"/>
    </w:p>
    <w:p>
      <w:pPr>
        <w:pStyle w:val="4"/>
        <w:numPr>
          <w:ilvl w:val="0"/>
          <w:numId w:val="2"/>
        </w:numPr>
      </w:pPr>
      <w:bookmarkStart w:id="1" w:name="_Toc55211380"/>
      <w:r>
        <w:rPr>
          <w:rFonts w:hint="eastAsia"/>
        </w:rPr>
        <w:t>学员登录</w:t>
      </w:r>
      <w:bookmarkEnd w:id="1"/>
    </w:p>
    <w:p>
      <w:pPr>
        <w:rPr>
          <w:rStyle w:val="13"/>
          <w:szCs w:val="22"/>
        </w:rPr>
      </w:pPr>
      <w:r>
        <w:rPr>
          <w:rStyle w:val="13"/>
          <w:rFonts w:hint="eastAsia"/>
          <w:szCs w:val="22"/>
        </w:rPr>
        <w:t>1.1前台学习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北京药学会在线平台（http://px.pha-bj.org）是一个在线培训学习平台</w:t>
      </w:r>
      <w:r>
        <w:rPr>
          <w:rFonts w:ascii="黑体" w:hAnsi="黑体" w:eastAsia="黑体"/>
        </w:rPr>
        <w:t>，学员在此可参加学习、培训、考试。下图为学员进入系统的前台首页。</w:t>
      </w:r>
      <w:r>
        <w:rPr>
          <w:rFonts w:ascii="Calibri" w:hAnsi="Calibri" w:eastAsia="黑体" w:cs="Calibri"/>
        </w:rPr>
        <w:t> </w:t>
      </w:r>
    </w:p>
    <w:p>
      <w:r>
        <w:drawing>
          <wp:inline distT="0" distB="0" distL="114300" distR="114300">
            <wp:extent cx="5260975" cy="3139440"/>
            <wp:effectExtent l="0" t="0" r="15875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2"/>
        </w:numPr>
      </w:pPr>
      <w:bookmarkStart w:id="2" w:name="_Toc55211381"/>
      <w:r>
        <w:rPr>
          <w:rFonts w:hint="eastAsia"/>
        </w:rPr>
        <w:t>培训考试</w:t>
      </w:r>
      <w:bookmarkEnd w:id="2"/>
    </w:p>
    <w:p>
      <w:pPr>
        <w:rPr>
          <w:rStyle w:val="13"/>
          <w:szCs w:val="22"/>
        </w:rPr>
      </w:pPr>
      <w:r>
        <w:rPr>
          <w:rStyle w:val="13"/>
          <w:rFonts w:hint="eastAsia"/>
          <w:szCs w:val="22"/>
        </w:rPr>
        <w:t>2.1学员如何进行在线学习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（1）学员在推销员平台（http://txy.pha-bj.org）注册报名，并到学会办理完申请登记后，按通知时间进入在线平台（http://px.pha-bj.org）进行课程学习。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在浏览器输入在线平台网站进入首页（http://px.pha-bj.org）后，点击右上角登录（图中红色框内）按钮。输入用户名密码（与推销员平台用户名密码一致）登录在线平台。</w:t>
      </w:r>
    </w:p>
    <w:p/>
    <w:p>
      <w:r>
        <w:drawing>
          <wp:inline distT="0" distB="0" distL="114300" distR="114300">
            <wp:extent cx="5263515" cy="2202815"/>
            <wp:effectExtent l="0" t="0" r="1333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（2）登录成功后页面会进入个人中心页面。如下图所示：</w:t>
      </w:r>
    </w:p>
    <w:p>
      <w:r>
        <w:drawing>
          <wp:inline distT="0" distB="0" distL="114300" distR="114300">
            <wp:extent cx="5262880" cy="2602865"/>
            <wp:effectExtent l="0" t="0" r="139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numPr>
          <w:ilvl w:val="0"/>
          <w:numId w:val="3"/>
        </w:num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点击我的培训，即可看见参与的培训信息。如下图：</w:t>
      </w:r>
    </w:p>
    <w:p>
      <w:pPr>
        <w:rPr>
          <w:rFonts w:ascii="黑体" w:hAnsi="黑体" w:eastAsia="黑体"/>
        </w:rPr>
      </w:pPr>
    </w:p>
    <w:p>
      <w:r>
        <w:drawing>
          <wp:inline distT="0" distB="0" distL="114300" distR="114300">
            <wp:extent cx="5270500" cy="2953385"/>
            <wp:effectExtent l="0" t="0" r="6350" b="184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3"/>
        </w:num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点击右侧</w:t>
      </w:r>
      <w:r>
        <w:rPr>
          <w:rFonts w:hint="eastAsia" w:ascii="黑体" w:hAnsi="黑体" w:eastAsia="黑体"/>
          <w:lang w:eastAsia="zh-CN"/>
        </w:rPr>
        <w:t>线上课程</w:t>
      </w:r>
      <w:r>
        <w:rPr>
          <w:rFonts w:hint="eastAsia" w:ascii="黑体" w:hAnsi="黑体" w:eastAsia="黑体"/>
        </w:rPr>
        <w:t>进入培训</w:t>
      </w:r>
      <w:r>
        <w:rPr>
          <w:rFonts w:hint="eastAsia" w:ascii="黑体" w:hAnsi="黑体" w:eastAsia="黑体"/>
          <w:lang w:eastAsia="zh-CN"/>
        </w:rPr>
        <w:t>线上部分学习</w:t>
      </w:r>
      <w:r>
        <w:rPr>
          <w:rFonts w:hint="eastAsia" w:ascii="黑体" w:hAnsi="黑体" w:eastAsia="黑体"/>
        </w:rPr>
        <w:t>页面。点击在线播放即可开始学习。</w:t>
      </w:r>
    </w:p>
    <w:p>
      <w:pPr>
        <w:rPr>
          <w:rFonts w:ascii="黑体" w:hAnsi="黑体" w:eastAsia="黑体"/>
        </w:rPr>
      </w:pPr>
    </w:p>
    <w:p>
      <w:r>
        <w:drawing>
          <wp:inline distT="0" distB="0" distL="114300" distR="114300">
            <wp:extent cx="5262245" cy="2224405"/>
            <wp:effectExtent l="0" t="0" r="14605" b="444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</w:rPr>
      </w:pP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  <w:color w:val="FF0000"/>
        </w:rPr>
        <w:t>温馨提示：学习期间不可拖动进度条、可暂停。不能长时间离开页面，程序会每隔10分钟作出互动判断。</w:t>
      </w:r>
    </w:p>
    <w:p>
      <w:pPr>
        <w:pStyle w:val="5"/>
        <w:rPr>
          <w:rStyle w:val="13"/>
          <w:b/>
          <w:szCs w:val="22"/>
        </w:rPr>
      </w:pPr>
      <w:r>
        <w:rPr>
          <w:rStyle w:val="13"/>
          <w:rFonts w:hint="eastAsia" w:ascii="黑体" w:hAnsi="黑体"/>
          <w:b/>
          <w:szCs w:val="22"/>
        </w:rPr>
        <w:t>2.2学员如何</w:t>
      </w:r>
      <w:r>
        <w:rPr>
          <w:rStyle w:val="13"/>
          <w:rFonts w:hint="eastAsia"/>
          <w:b/>
          <w:szCs w:val="22"/>
        </w:rPr>
        <w:t>参加考试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（1）点击网页顶部菜单“在线考试”，选择红框所示推销员培训结业考试进入考试页面。</w:t>
      </w:r>
    </w:p>
    <w:p/>
    <w:p>
      <w:r>
        <w:drawing>
          <wp:inline distT="0" distB="0" distL="114300" distR="114300">
            <wp:extent cx="5274310" cy="2999105"/>
            <wp:effectExtent l="0" t="0" r="2540" b="1079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（2）考试界面如下图所示：</w:t>
      </w:r>
    </w:p>
    <w:p>
      <w:pPr>
        <w:rPr>
          <w:rFonts w:ascii="黑体" w:hAnsi="黑体" w:eastAsia="黑体"/>
        </w:rPr>
      </w:pPr>
    </w:p>
    <w:p>
      <w:r>
        <w:drawing>
          <wp:inline distT="0" distB="0" distL="114300" distR="114300">
            <wp:extent cx="5271135" cy="2339975"/>
            <wp:effectExtent l="0" t="0" r="571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点击“开始考试”进行答题。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提交后系统会自动判分，如果未通过，可重新考试。共有5次考试机会。如果通过可进入个人中心查看考试信息。交卷后状态如下图所示：</w:t>
      </w:r>
    </w:p>
    <w:p>
      <w:r>
        <w:drawing>
          <wp:inline distT="0" distB="0" distL="114300" distR="114300">
            <wp:extent cx="5271135" cy="2662555"/>
            <wp:effectExtent l="0" t="0" r="571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379345"/>
            <wp:effectExtent l="0" t="0" r="444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4"/>
        </w:num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个人中心点击“我的考试”后效果如下图所示：</w:t>
      </w:r>
    </w:p>
    <w:p>
      <w:r>
        <w:drawing>
          <wp:inline distT="0" distB="0" distL="114300" distR="114300">
            <wp:extent cx="5262245" cy="2260600"/>
            <wp:effectExtent l="0" t="0" r="1460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FF0000"/>
        </w:rPr>
      </w:pPr>
      <w:r>
        <w:rPr>
          <w:rFonts w:hint="eastAsia" w:ascii="黑体" w:hAnsi="黑体" w:eastAsia="黑体"/>
          <w:color w:val="FF0000"/>
        </w:rPr>
        <w:t>温馨提示：相同的培训记录，系统会以最高分为判断依据。</w:t>
      </w:r>
    </w:p>
    <w:p>
      <w:pPr>
        <w:pStyle w:val="5"/>
        <w:rPr>
          <w:rStyle w:val="13"/>
          <w:b/>
          <w:szCs w:val="22"/>
        </w:rPr>
      </w:pPr>
      <w:r>
        <w:rPr>
          <w:rStyle w:val="13"/>
          <w:rFonts w:hint="eastAsia"/>
          <w:b/>
          <w:szCs w:val="22"/>
        </w:rPr>
        <w:t>2.3学员如何查看培训资料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  <w:lang w:eastAsia="zh-CN"/>
        </w:rPr>
        <w:t>点击专业培训，选择药品推销员</w:t>
      </w:r>
      <w:r>
        <w:rPr>
          <w:rFonts w:hint="eastAsia" w:ascii="黑体" w:hAnsi="黑体" w:eastAsia="黑体"/>
        </w:rPr>
        <w:t>。点击培训资料</w:t>
      </w:r>
      <w:r>
        <w:rPr>
          <w:rFonts w:hint="eastAsia" w:ascii="黑体" w:hAnsi="黑体" w:eastAsia="黑体"/>
          <w:lang w:eastAsia="zh-CN"/>
        </w:rPr>
        <w:t>按钮</w:t>
      </w:r>
      <w:r>
        <w:rPr>
          <w:rFonts w:hint="eastAsia" w:ascii="黑体" w:hAnsi="黑体" w:eastAsia="黑体"/>
        </w:rPr>
        <w:t>查看本次培训资料。</w:t>
      </w:r>
    </w:p>
    <w:p>
      <w:r>
        <w:drawing>
          <wp:inline distT="0" distB="0" distL="114300" distR="114300">
            <wp:extent cx="5267325" cy="2822575"/>
            <wp:effectExtent l="0" t="0" r="9525" b="1587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1"/>
        </w:numPr>
        <w:jc w:val="center"/>
        <w:outlineLvl w:val="0"/>
        <w:rPr>
          <w:rFonts w:ascii="Arial" w:hAnsi="Arial" w:eastAsia="黑体"/>
          <w:b/>
          <w:sz w:val="32"/>
        </w:rPr>
      </w:pPr>
      <w:bookmarkStart w:id="3" w:name="_Toc55211382"/>
      <w:r>
        <w:rPr>
          <w:rFonts w:hint="eastAsia" w:ascii="Arial" w:hAnsi="Arial" w:eastAsia="黑体"/>
          <w:b/>
          <w:sz w:val="32"/>
        </w:rPr>
        <w:t>手机端学习</w:t>
      </w:r>
      <w:bookmarkEnd w:id="3"/>
    </w:p>
    <w:p>
      <w:pPr>
        <w:outlineLvl w:val="1"/>
        <w:rPr>
          <w:b/>
          <w:sz w:val="32"/>
        </w:rPr>
      </w:pPr>
      <w:bookmarkStart w:id="4" w:name="_Toc55211383"/>
      <w:r>
        <w:rPr>
          <w:rFonts w:hint="eastAsia" w:ascii="黑体" w:hAnsi="黑体" w:eastAsia="黑体"/>
          <w:b/>
          <w:sz w:val="32"/>
        </w:rPr>
        <w:t>一．</w:t>
      </w:r>
      <w:r>
        <w:rPr>
          <w:rFonts w:hint="eastAsia"/>
          <w:b/>
          <w:sz w:val="32"/>
        </w:rPr>
        <w:t>学员登录</w:t>
      </w:r>
      <w:bookmarkEnd w:id="4"/>
    </w:p>
    <w:p>
      <w:pPr>
        <w:pStyle w:val="5"/>
        <w:rPr>
          <w:rStyle w:val="13"/>
          <w:b/>
          <w:szCs w:val="22"/>
        </w:rPr>
      </w:pPr>
      <w:r>
        <w:rPr>
          <w:rStyle w:val="13"/>
          <w:rFonts w:hint="eastAsia"/>
          <w:b/>
          <w:szCs w:val="22"/>
        </w:rPr>
        <w:t>1.1前台学习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北京药学会在线平台（http://px.pha-bj.org）是一个在线培训学习平台</w:t>
      </w:r>
      <w:r>
        <w:rPr>
          <w:rFonts w:ascii="黑体" w:hAnsi="黑体" w:eastAsia="黑体"/>
        </w:rPr>
        <w:t>，学员在此可参加学习、培训、考试。下图为学员进入</w:t>
      </w:r>
      <w:r>
        <w:rPr>
          <w:rFonts w:hint="eastAsia" w:ascii="黑体" w:hAnsi="黑体" w:eastAsia="黑体"/>
        </w:rPr>
        <w:t>手机端后界面</w:t>
      </w:r>
      <w:r>
        <w:rPr>
          <w:rFonts w:ascii="黑体" w:hAnsi="黑体" w:eastAsia="黑体"/>
        </w:rPr>
        <w:t>。</w:t>
      </w:r>
    </w:p>
    <w:p>
      <w:pPr>
        <w:jc w:val="center"/>
      </w:pPr>
      <w:r>
        <w:drawing>
          <wp:inline distT="0" distB="0" distL="114300" distR="114300">
            <wp:extent cx="1956435" cy="3618865"/>
            <wp:effectExtent l="0" t="0" r="571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b/>
          <w:sz w:val="32"/>
        </w:rPr>
      </w:pPr>
      <w:bookmarkStart w:id="5" w:name="_Toc55211384"/>
      <w:r>
        <w:rPr>
          <w:rFonts w:hint="eastAsia" w:ascii="黑体" w:hAnsi="黑体" w:eastAsia="黑体"/>
          <w:b/>
          <w:sz w:val="32"/>
        </w:rPr>
        <w:t>二．</w:t>
      </w:r>
      <w:r>
        <w:rPr>
          <w:rFonts w:hint="eastAsia"/>
          <w:b/>
          <w:sz w:val="32"/>
        </w:rPr>
        <w:t>培训考试</w:t>
      </w:r>
      <w:bookmarkEnd w:id="5"/>
    </w:p>
    <w:p>
      <w:pPr>
        <w:pStyle w:val="5"/>
        <w:rPr>
          <w:rStyle w:val="13"/>
          <w:b/>
          <w:szCs w:val="22"/>
        </w:rPr>
      </w:pPr>
      <w:r>
        <w:rPr>
          <w:rStyle w:val="13"/>
          <w:rFonts w:hint="eastAsia"/>
          <w:b/>
          <w:szCs w:val="22"/>
        </w:rPr>
        <w:t>2.1学员如何进行在线学习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（1）学员在推销员平台（http://txy.pha-bj.org）注册报名，并到学会办理完申请登记后，按通知时间进入在线平台（http://px.pha-bj.org）进行课程学习。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在浏览器输入在线平台网站进入首页后，点击右上角登录按钮。或者使用微信，通过扫码进入学会平台，输入用户名密码（与推销员平台用户名密码一致）登录在线管理平台。</w:t>
      </w:r>
    </w:p>
    <w:p/>
    <w:p>
      <w:r>
        <w:drawing>
          <wp:inline distT="0" distB="0" distL="114300" distR="114300">
            <wp:extent cx="1717040" cy="1745615"/>
            <wp:effectExtent l="0" t="0" r="165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</w:t>
      </w:r>
      <w:r>
        <w:drawing>
          <wp:inline distT="0" distB="0" distL="114300" distR="114300">
            <wp:extent cx="1828800" cy="28479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平台地址二维码                             点击登录后界面</w:t>
      </w:r>
    </w:p>
    <w:p>
      <w:pPr>
        <w:ind w:firstLine="420"/>
        <w:jc w:val="left"/>
        <w:rPr>
          <w:rFonts w:ascii="黑体" w:hAnsi="黑体" w:eastAsia="黑体"/>
        </w:rPr>
      </w:pPr>
    </w:p>
    <w:p>
      <w:pPr>
        <w:ind w:firstLine="420"/>
        <w:jc w:val="left"/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（2）登录成功后页面会进入个人中心页面。如下图所示：</w:t>
      </w:r>
    </w:p>
    <w:p>
      <w:pPr>
        <w:rPr>
          <w:rFonts w:ascii="黑体" w:hAnsi="黑体" w:eastAsia="黑体"/>
        </w:rPr>
      </w:pPr>
    </w:p>
    <w:p>
      <w:pPr>
        <w:jc w:val="center"/>
      </w:pPr>
      <w:r>
        <w:drawing>
          <wp:inline distT="0" distB="0" distL="114300" distR="114300">
            <wp:extent cx="1673225" cy="2898775"/>
            <wp:effectExtent l="0" t="0" r="317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ascii="黑体" w:hAnsi="黑体" w:eastAsia="黑体"/>
          <w:color w:val="FF0000"/>
        </w:rPr>
      </w:pPr>
      <w:r>
        <w:rPr>
          <w:rFonts w:hint="eastAsia" w:ascii="黑体" w:hAnsi="黑体" w:eastAsia="黑体"/>
          <w:color w:val="FF0000"/>
        </w:rPr>
        <w:t>温馨提示：通过微信进入会绑定账号，以后登录不需要重复输入登录账号。登录后可以修改个人信息。</w:t>
      </w:r>
    </w:p>
    <w:p>
      <w:pPr>
        <w:ind w:firstLine="420"/>
        <w:jc w:val="left"/>
        <w:rPr>
          <w:rFonts w:ascii="黑体" w:hAnsi="黑体" w:eastAsia="黑体"/>
          <w:color w:val="FF0000"/>
        </w:rPr>
      </w:pPr>
    </w:p>
    <w:p>
      <w:pPr>
        <w:ind w:firstLine="420"/>
        <w:jc w:val="left"/>
        <w:rPr>
          <w:rFonts w:ascii="黑体" w:hAnsi="黑体" w:eastAsia="黑体"/>
          <w:color w:val="FF0000"/>
        </w:rPr>
      </w:pPr>
    </w:p>
    <w:p>
      <w:pPr>
        <w:ind w:firstLine="420"/>
        <w:jc w:val="left"/>
        <w:rPr>
          <w:rFonts w:ascii="黑体" w:hAnsi="黑体" w:eastAsia="黑体"/>
          <w:color w:val="FF0000"/>
        </w:rPr>
      </w:pPr>
    </w:p>
    <w:p>
      <w:pPr>
        <w:ind w:firstLine="420"/>
        <w:jc w:val="left"/>
        <w:rPr>
          <w:rFonts w:ascii="黑体" w:hAnsi="黑体" w:eastAsia="黑体"/>
          <w:color w:val="FF0000"/>
        </w:rPr>
      </w:pPr>
    </w:p>
    <w:p>
      <w:pPr>
        <w:ind w:firstLine="420"/>
        <w:jc w:val="left"/>
        <w:rPr>
          <w:rFonts w:ascii="黑体" w:hAnsi="黑体" w:eastAsia="黑体"/>
          <w:color w:val="FF0000"/>
        </w:rPr>
      </w:pPr>
    </w:p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（3）点击我的培训，即可看见参与的培训信息。依次点击即可参加学习。如下图所示：</w:t>
      </w:r>
    </w:p>
    <w:p>
      <w:pPr>
        <w:jc w:val="left"/>
        <w:rPr>
          <w:rFonts w:ascii="黑体" w:hAnsi="黑体" w:eastAsia="黑体"/>
        </w:rPr>
      </w:pPr>
    </w:p>
    <w:p>
      <w:pPr>
        <w:jc w:val="left"/>
      </w:pPr>
      <w:r>
        <w:drawing>
          <wp:inline distT="0" distB="0" distL="114300" distR="114300">
            <wp:extent cx="5266690" cy="2065020"/>
            <wp:effectExtent l="0" t="0" r="10160" b="1143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Style w:val="13"/>
          <w:b/>
          <w:szCs w:val="22"/>
        </w:rPr>
      </w:pPr>
      <w:r>
        <w:rPr>
          <w:rStyle w:val="13"/>
          <w:rFonts w:hint="eastAsia"/>
          <w:b/>
          <w:szCs w:val="22"/>
        </w:rPr>
        <w:t>2.2学员如何参加考试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（1）点击网页顶部菜单“在线考试”，选择红框所示“推销员培训结业考试”进入考试页面。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登录成功后页面会进入个人中心页面。如下图所示：</w:t>
      </w:r>
    </w:p>
    <w:p>
      <w:pPr>
        <w:rPr>
          <w:rFonts w:ascii="黑体" w:hAnsi="黑体" w:eastAsia="黑体"/>
        </w:rPr>
      </w:pPr>
    </w:p>
    <w:p/>
    <w:p>
      <w:r>
        <w:drawing>
          <wp:inline distT="0" distB="0" distL="114300" distR="114300">
            <wp:extent cx="5271770" cy="2316480"/>
            <wp:effectExtent l="0" t="0" r="5080" b="762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5"/>
        </w:numPr>
      </w:pPr>
      <w:r>
        <w:rPr>
          <w:rFonts w:hint="eastAsia" w:ascii="黑体" w:hAnsi="黑体" w:eastAsia="黑体"/>
        </w:rPr>
        <w:t>考试完成后，在首页点击在线考试即可查看考试记录。</w:t>
      </w:r>
    </w:p>
    <w:p/>
    <w:p/>
    <w:p>
      <w:pPr>
        <w:pStyle w:val="5"/>
        <w:rPr>
          <w:szCs w:val="22"/>
        </w:rPr>
      </w:pPr>
      <w:r>
        <w:rPr>
          <w:rStyle w:val="13"/>
          <w:rFonts w:hint="eastAsia"/>
          <w:b/>
          <w:szCs w:val="22"/>
        </w:rPr>
        <w:t>2.3学员如何查看培训资料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培训资料在首页顶部菜单。点击查看相关培训资料。</w:t>
      </w:r>
    </w:p>
    <w:p>
      <w:r>
        <w:drawing>
          <wp:inline distT="0" distB="0" distL="114300" distR="114300">
            <wp:extent cx="5274310" cy="2545715"/>
            <wp:effectExtent l="0" t="0" r="2540" b="698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/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如遇问题，可及时拨打以下电话解决：</w:t>
      </w:r>
    </w:p>
    <w:p>
      <w:pPr>
        <w:rPr>
          <w:rFonts w:ascii="黑体" w:hAnsi="黑体" w:eastAsia="黑体"/>
          <w:b/>
          <w:bCs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技术咨询：陈祥</w:t>
      </w:r>
      <w:r>
        <w:rPr>
          <w:rFonts w:hint="eastAsia" w:ascii="黑体" w:hAnsi="黑体" w:eastAsia="黑体"/>
          <w:szCs w:val="21"/>
          <w:lang w:eastAsia="zh-CN"/>
        </w:rPr>
        <w:t>昆</w:t>
      </w:r>
      <w:r>
        <w:rPr>
          <w:rFonts w:hint="eastAsia" w:ascii="黑体" w:hAnsi="黑体" w:eastAsia="黑体"/>
          <w:szCs w:val="21"/>
        </w:rPr>
        <w:t xml:space="preserve"> </w:t>
      </w:r>
      <w:r>
        <w:rPr>
          <w:rFonts w:ascii="黑体" w:hAnsi="黑体" w:eastAsia="黑体"/>
          <w:szCs w:val="21"/>
        </w:rPr>
        <w:t>13552229054</w:t>
      </w:r>
    </w:p>
    <w:p>
      <w:pPr>
        <w:ind w:firstLine="420" w:firstLineChars="20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 xml:space="preserve">学会：于利 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>6</w:t>
      </w:r>
      <w:r>
        <w:rPr>
          <w:rFonts w:ascii="黑体" w:hAnsi="黑体" w:eastAsia="黑体"/>
          <w:szCs w:val="21"/>
        </w:rPr>
        <w:t>4178704</w:t>
      </w:r>
      <w:r>
        <w:rPr>
          <w:rFonts w:hint="eastAsia" w:ascii="黑体" w:hAnsi="黑体" w:eastAsia="黑体"/>
          <w:szCs w:val="21"/>
        </w:rPr>
        <w:t>-</w:t>
      </w:r>
      <w:r>
        <w:rPr>
          <w:rFonts w:ascii="黑体" w:hAnsi="黑体" w:eastAsia="黑体"/>
          <w:szCs w:val="21"/>
        </w:rPr>
        <w:t>208</w: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jc w:val="righ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北京药学会继续教育与培训部</w:t>
      </w:r>
    </w:p>
    <w:p>
      <w:pPr>
        <w:ind w:right="210"/>
        <w:jc w:val="righ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（2</w:t>
      </w:r>
      <w:r>
        <w:rPr>
          <w:rFonts w:ascii="黑体" w:hAnsi="黑体" w:eastAsia="黑体"/>
          <w:szCs w:val="21"/>
        </w:rPr>
        <w:t>02</w:t>
      </w:r>
      <w:r>
        <w:rPr>
          <w:rFonts w:hint="eastAsia" w:ascii="黑体" w:hAnsi="黑体" w:eastAsia="黑体"/>
          <w:szCs w:val="21"/>
          <w:lang w:val="en-US" w:eastAsia="zh-CN"/>
        </w:rPr>
        <w:t>3</w:t>
      </w:r>
      <w:r>
        <w:rPr>
          <w:rFonts w:hint="eastAsia" w:ascii="黑体" w:hAnsi="黑体" w:eastAsia="黑体"/>
          <w:szCs w:val="21"/>
        </w:rPr>
        <w:t>年1</w:t>
      </w:r>
      <w:r>
        <w:rPr>
          <w:rFonts w:ascii="黑体" w:hAnsi="黑体" w:eastAsia="黑体"/>
          <w:szCs w:val="21"/>
        </w:rPr>
        <w:t>1</w:t>
      </w:r>
      <w:r>
        <w:rPr>
          <w:rFonts w:hint="eastAsia" w:ascii="黑体" w:hAnsi="黑体" w:eastAsia="黑体"/>
          <w:szCs w:val="21"/>
        </w:rPr>
        <w:t>月版）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C52D05"/>
    <w:multiLevelType w:val="singleLevel"/>
    <w:tmpl w:val="D0C52D05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1">
    <w:nsid w:val="1D0830E5"/>
    <w:multiLevelType w:val="singleLevel"/>
    <w:tmpl w:val="1D0830E5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3565C97D"/>
    <w:multiLevelType w:val="singleLevel"/>
    <w:tmpl w:val="3565C97D"/>
    <w:lvl w:ilvl="0" w:tentative="0">
      <w:start w:val="3"/>
      <w:numFmt w:val="decimal"/>
      <w:suff w:val="nothing"/>
      <w:lvlText w:val="（%1）"/>
      <w:lvlJc w:val="left"/>
    </w:lvl>
  </w:abstractNum>
  <w:abstractNum w:abstractNumId="3">
    <w:nsid w:val="525FE727"/>
    <w:multiLevelType w:val="singleLevel"/>
    <w:tmpl w:val="525FE727"/>
    <w:lvl w:ilvl="0" w:tentative="0">
      <w:start w:val="1"/>
      <w:numFmt w:val="chineseCounting"/>
      <w:suff w:val="nothing"/>
      <w:lvlText w:val="%1．"/>
      <w:lvlJc w:val="left"/>
      <w:rPr>
        <w:rFonts w:hint="eastAsia" w:ascii="黑体" w:hAnsi="黑体" w:eastAsia="黑体"/>
      </w:rPr>
    </w:lvl>
  </w:abstractNum>
  <w:abstractNum w:abstractNumId="4">
    <w:nsid w:val="55FB6049"/>
    <w:multiLevelType w:val="singleLevel"/>
    <w:tmpl w:val="55FB604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wZTBkY2IzNWU4ODE2ZDU5ODFkYjg5NTIwNDg5NjIifQ=="/>
  </w:docVars>
  <w:rsids>
    <w:rsidRoot w:val="71B34464"/>
    <w:rsid w:val="00184891"/>
    <w:rsid w:val="001E0EAB"/>
    <w:rsid w:val="005B7646"/>
    <w:rsid w:val="00786EF8"/>
    <w:rsid w:val="00994AAB"/>
    <w:rsid w:val="009E4C00"/>
    <w:rsid w:val="00A02198"/>
    <w:rsid w:val="00B55992"/>
    <w:rsid w:val="00E74510"/>
    <w:rsid w:val="00FA6004"/>
    <w:rsid w:val="00FF3434"/>
    <w:rsid w:val="04190F7A"/>
    <w:rsid w:val="050E5B93"/>
    <w:rsid w:val="0661608D"/>
    <w:rsid w:val="07021604"/>
    <w:rsid w:val="07426B85"/>
    <w:rsid w:val="08414B85"/>
    <w:rsid w:val="08437644"/>
    <w:rsid w:val="09B3418E"/>
    <w:rsid w:val="0B0D0150"/>
    <w:rsid w:val="0C486B47"/>
    <w:rsid w:val="0E1F5AFE"/>
    <w:rsid w:val="0EC32AE2"/>
    <w:rsid w:val="1A1D66BC"/>
    <w:rsid w:val="1D5F01FB"/>
    <w:rsid w:val="1D774F71"/>
    <w:rsid w:val="200E7523"/>
    <w:rsid w:val="24AE00EB"/>
    <w:rsid w:val="25504201"/>
    <w:rsid w:val="29C50098"/>
    <w:rsid w:val="313E1BFD"/>
    <w:rsid w:val="32941FE3"/>
    <w:rsid w:val="3D9200CF"/>
    <w:rsid w:val="3FE417DA"/>
    <w:rsid w:val="406F4286"/>
    <w:rsid w:val="43F71EA2"/>
    <w:rsid w:val="453F35DF"/>
    <w:rsid w:val="4C4A1A42"/>
    <w:rsid w:val="4C531A1D"/>
    <w:rsid w:val="4E182773"/>
    <w:rsid w:val="52A1159B"/>
    <w:rsid w:val="5418045F"/>
    <w:rsid w:val="549C53D0"/>
    <w:rsid w:val="582B4343"/>
    <w:rsid w:val="5BE2700B"/>
    <w:rsid w:val="5CD91CEE"/>
    <w:rsid w:val="618D5C6B"/>
    <w:rsid w:val="67633AF2"/>
    <w:rsid w:val="6C94405F"/>
    <w:rsid w:val="6D474537"/>
    <w:rsid w:val="6DF577B4"/>
    <w:rsid w:val="71B34464"/>
    <w:rsid w:val="73946503"/>
    <w:rsid w:val="75E50733"/>
    <w:rsid w:val="79B55439"/>
    <w:rsid w:val="7BAC0D58"/>
    <w:rsid w:val="7D4A38CB"/>
    <w:rsid w:val="7ED61202"/>
    <w:rsid w:val="7FB7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3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paragraph" w:styleId="9">
    <w:name w:val="Normal (Web)"/>
    <w:basedOn w:val="1"/>
    <w:qFormat/>
    <w:uiPriority w:val="0"/>
    <w:rPr>
      <w:sz w:val="24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4 字符"/>
    <w:link w:val="5"/>
    <w:qFormat/>
    <w:uiPriority w:val="0"/>
    <w:rPr>
      <w:rFonts w:ascii="Arial" w:hAnsi="Arial" w:eastAsia="黑体"/>
      <w:b/>
      <w:sz w:val="28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229</Words>
  <Characters>1308</Characters>
  <Lines>10</Lines>
  <Paragraphs>3</Paragraphs>
  <TotalTime>30</TotalTime>
  <ScaleCrop>false</ScaleCrop>
  <LinksUpToDate>false</LinksUpToDate>
  <CharactersWithSpaces>1534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2021-11-05T06:42:00Z</dcterms:created>
  <dc:creator>陈祥昆</dc:creator>
  <cp:lastModifiedBy>陈祥昆</cp:lastModifiedBy>
  <dcterms:modified xsi:type="dcterms:W3CDTF">2023-11-06T01:52:06Z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B9474F57EC3E4C2197003841DC188C42_13</vt:lpwstr>
  </property>
</Properties>
</file>